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ходатайством об и исключении из конкурной массы денежных средств или имущества на сумму в 1 372 949 рублей 78 копеек. Определением Арбитражного суда Костромской области от 19.01.2022, оставленным без изменения постановлением Второго арбитражного апелляционного суда от 13.05.2022 и постановлением Арбитражного суда Волго-Вятского округа от 11.09.2023, в удовлетворении ходатайства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отказывая в удовлетворении ходатайства, суды исходили из того, что в конкурсной массе должника отсутствуют денежные средства, которые могли быть выплачены должнику в качестве прожиточного минимума, приняв во внимание ранее вынесенные судебные акты в отношении аналогичного спора.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