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«Научно-производственное объединение «Центр специальных систем» (далее – Общество) обратилось в Арбитражный суд города Москвы с исковым заявлением к обществу с ограниченной ответственностью «Экспресс» (далее – Компания) об истребовании имущества из чужого незаконного владения. Решением Арбитражного суда города Москвы от 19.03.2021, оставленным без изменения постановлением Девятого арбитражного апелляционного суда от 31.08.2021, в удовлетворении требований отказано. Постановлением Арбитражного суда Московского округа от 17.11.2021 решение от 19.03.2021 и апелляционное постановление от 31.08.2021 отменены, дело направлено на новое рассмотрение в Арбитражный суд города Москвы. При новом рассмотрении к участию в деле в качестве соответчиков привлечены общество с ограниченной ответственностью (далее – ООО) «Вагонная грузовая компания «Вектор», ООО «Корус», ООО «Мегатрон», ООО «Нова Трейд», ООО «Юнирейлгрупп», ООО ТК «Транком-Сервис». 2 К участию в деле в качестве третьего лица, не заявляющего самостоятельных требований относительно предмета спора, привлечено ООО «Тандемтрансгрупп». Также судом принято уточнение требований в порядке статьи 49 Арбитражного процессуального кодекса Российской Федерации (далее – АПК РФ), согласно которому Общество просит истребовать из чужого незаконного владения полувагоны согласно перечню, указанному в просительной части. Решением Арбитражного суда города Москвы от 20.02.2023, оставленным без изменения постановлением Девятого арбитражного апелляционного суда от 30.05.2023 и постановлением Арбитражного суда Московского округа от 18.09.2023,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спорное имущество получено ответчиками в результате взаимосвязанных сделок аффилированных лиц, заключенных в короткий период времени (14.05.2015 и 04.06.2015); первая из сделок признана недействительной в рамках дела о банкротстве Общества, как заключенная в целях вывода активов должника в преддверие банкротства и причинения вреда кредиторам. По мнению Общества, признанная судом в рамках дела о банкротстве Общества сделка, совершенная в ущерб интересам должника, должна квалифицироваться как совершенная помимо воли юридического лица, в связи с чем спорное имущество подлежит возврату в конкурсную массу вне зависимости от других обстоятельств спора, как то, возмездность и добросовестность приобретателя. Суд освободил ответчиков от бремени доказывания своей добросовестности, не рассмотрев доводы о злоупотреблении ими своим правом и мнимости/притворности сделки.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Арбитражным судом города Москвы от 14.02.2017 по делу № А40-202937/2015 Общество признано несостоятельным (банкротом) и в отношении него открыто конкурсное производство. 3 Определением Арбитражного суда города Москвы от 12.04.2019 по делу № А40-202937/2015 признаны недействительными договор поставки от 14.05.2015 № 14/05-П и соглашение о взаимозачете от 14.05.2015, заключенные между Обществом и ООО «Ремстрой-10» (правопреемник – ООО «Нетканка»); применены последствия недействительности договора поставки от 14.05.2015 № 14/05-П в виде возврата в конкурсную массу Общества отчужденного имущества – железнодорожных полувагонов модели 12-132 по ТУ 3182-120-07518941-2004 в количестве 100 единиц. Осуществляя розыск указанного имущества, конкурсный управляющий Обществом обратилась в Федеральное агентство железнодорожного транспорта, которое в ответе от 27.08.2020 сообщило, что право собственности на указанные полувагоны зарегистрировано за ООО «Экспресс». В частности, было установлено, что 04.06.2015 между ООО «Ремстрой-10» (продавец) и ООО «Экспресс» (покупатель) заключен договор купли-продажи № Э-06/15, согласно которому, продавец передал покупателю в собственность принадлежащие железнодорожные полувагоны модели 12-132 по ТУ 3182-12007518941-2004 в количестве 100 штук, а покупатель принял имущество и оплатил его. В подтверждение исполнения сделки были представлены товарная накладная от 05.06.2015, акт приема-передачи № 1, копии платежных поручений на общую сумму 94 100 000 рублей, а также выписка по счету. Обращаясь с настоящим иском в суд, Общество указало, что поскольку за ним признано право собственности на спорное имущество, то надлежит истребовать полувагоны из незаконного владения ответчиков. Исследовав и оценив по правилам статьи 71 АПК РФ представленные доказательства, руководствуясь статьями 209, 301 Гражданского кодекса Российской Федерации, разъяснениями, изложенными в пунктах 38, 39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выводу, что ответчики являются добросовестными приобретателями, спорное имущество было отчуждено по рыночной стоимости и по воле продавца. Судебными инстанциями принято во внимание, что спорное имущество приобретено ответчиком по договору купли-продажи от 04.06.2015 № Э-06/15, который не признан недействительным и совершен до вынесения определения Арбитражного суда города Москвы от 12.04.2019 по делу № А40-202937/2015 о признании недействительной первоначальной сделки. Ссылка Общества на реализацию спорного имущества по заниженной стоимости, в доказательство чего истцом была представлена справка от 05.08.2022, отклонена судами как несостоятельная и противоречащая материалам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«Научно-производственное объединение «Центр специальных систем»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