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определением Арбитражного суда Костромской области от 14.03.2023, оставленным без изменения постановлением Второго арбитражного апелляционного суда от 25.05.2023, ходатайство должника о завершении процедуры реализации имущества и освобождении от исполнения обязанностей перед кредиторами отклонено, процедура реализации имущества Соколова Н.М. продлена на три месяца. Постановлением Арбитражного суда Волго-Вятского округа от 11.09.2023 прекращено производство по кассационной жалобе Соколова Н.М. на указанные судебные акты в части оспаривания продления срока реализации имущества, в остальной части судебные акты оставлены без изменения. Соколов Н.М.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по делу о банкротстве должника проведены не все мероприятия, предусмотренные Федеральным законом от 26.10.2002 № 127-ФЗ «О несостоятельности (банкротстве)», суды первой и апелляционной инстанций продлили срок реализации имущества должника. Учитывая, что указанные судебные акты в части продления срока реализации имущества не подлежат обжалованию в суде кассационной инстанции с учетом статьи 61 Закона о банкротстве и пункта 35.2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суд округа правомерно прекратил производство по кассационной жалобе Соколова Н.М. на судебные акты в этой части.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