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08.12.2023 направил в Верховный Суд Российской Федерации кассационную жалобу, одновременно заявив ходатайство о восстановлении пропущенного срока ее подачи.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185,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«Автофлагман» удовлетворить, срок на подачу кассационной жалобы восстановить.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