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публичное акционерное общество «Промсвязьбанк» (далее – банк) обратилось в суд с заявлением о признании ранее включенного в реестр требований кредиторов должника требования банка в размере 459 390 493 рубля 71 копейка обеспеченного залогом имущества должника на основании договоров залога 04.08.2016 № Т-1/700-00340 и № Т-2/700-00340. Определением Арбитражного суда города Москвы от 10.04.2023, оставленным без изменения постановлением Девятого арбитражного апелляционного суда от 19.07.2023, в удовлетворении заявления отказано. Постановлением Арбитражного суда Московского округа от 21.09.2023 принятые по спору судебные акты отменены, обособленный спор направлен на новое рассмотрение в Арбитражный суд города Москвы.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суд округа, руководствуясь статьями 334, 338 Гражданского кодекса Российской Федерации, исходил из преждевременности содержащихся в них выводов, сделанных при неполном выяснении фактических обстоятельств дела, оценки доказательств и приводимых банком доводов, в связи с чем направил спор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