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«Адванта» (далее – Общество) обратилось в Арбитражный суд Краснодарского края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«Стройпартнер» (далее – Компания) о взыскании 4 570 000 рублей задолженности по договорам займа, 2 331 837 рублей 25 копеек процентов за пользование суммой займа, 6 482 500 рублей неустойки, 60000 рублей расходов на юридические услуги. В свою очередь, Компания заявила встречное требование о взыскании 3 406 248 рублей упущенной выгоды. Решением Арбитражного суда Краснодарского края от 28.04.2023, оставленным без изменения постановлением Пятнадцатого арбитражного апелляционного суда от 28.06.2023 и постановлением Арбитражного суда Северо- Кавказского округа от 20.09.2023, первоначальный иск удовлетворен частично, с Компании в пользу Общества взыскано 4 570 000 рублей задолженности по договорам займа, 2 331 837 рублей 25 копеек процентов на сумму займа, 6 482 500 рублей неустойки, 89922 рубля расходов по уплате государственной пошлины, в удовлетворении требования Общества о взыскании расходов на 2 оплату услуг представителя отказано; в удовлетворении встречного иска Компании также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ошибочно определен размер задолженности, так как Компания произвела частичный возврат долга; суд первой инстанции необоснованно отказал в снижении неустойки по правилам статьи 333 Гражданского кодекса Российской Федерации (далее – Гражданский кодекс), не рассмотрел по существу встречный иск; суды необоснованно приняли обеспечительные меры и неправомерно отказали в удовлетворении ходатайства о приостановлении производства по делу.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(займодавец) и Компания (заемщик) заключили ряд договоров займа. Неустойка за несвоевременный возврат суммы займа и процентов по договорам от 29.10.2021 № 51/10-21, от 03.11.2021 № 52/11-21, от 12.11.2021 № 53/11-21, от 24.11.2021 № 54/11-21, от 14.12.2021 № 55/12-21, от 24.12.2021 № 56/12-21 составляет 0,25% от неуплаченной в срок суммы за каждый день просрочки. Неустойка за несвоевременный возврат суммы займа и процентов по договорам от 09.02.2022 № 57/02-22, от 21.02.2022 № 58/02-22, от 24.02.2022 № 59/02-22, от 14.03.2022 № 60/03-22, от 07.04.2022 № 62/04/22 составляет 0,5% от неуплаченной в срок суммы за каждый день просрочки. Во исполнение обязательств Общество перечислило на счет Компании денежные средства. Неисполнение Компанией обязательств по возврату займа послужило основанием для обращения Общества в арбитражный суд с первоначальным иском. Заявляя встречное требование, Компания указала на наличие упущенной выгоды, ссылаясь на отстранение от участия в электронном аукционе по причине предъявления Обществом настоящего первоначального иска, что стало причиной невнесения обеспечения по электронным аукционам. 3 Исследовав и оценив по правилам статьи 71 АПК РФ представленные доказательства, руководствуясь статьями 309, 310, 330, 807, 809, 810 Гражданского кодекса,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первоначальный иск, установив предоставление Компании заемных денежных средств, которые не были возвращены. Доводы Компании об оплате долга со ссылкой на платежные поручения от 21.12.2022 № 443, от 31.01.2023 № 21-27 и от 01.02.2023 № 27 не приняты судами, исходя из того, что соответствующие суммы были учтены при расчете исковых требований. Ссылка Компании на платежные поручение от 01.02.2023 № 29, 30 и от 13.02.2023 № 45 обоснованно отклонена, поскольку указанными платежными поручениями погашалась задолженность по иным договорам займа, не входящим в основание настоящего иска. Доказательств, свидетельствующих о несоразмерности либо чрезмерности неустойки, Компания не представила, в связи с чем суды сделали вывод об отсутствии оснований для ее уменьшения. Заявляя встречный иск, Компания указала на причинение ей убытков в виде упущенной выгоды неправомерной подачей Обществом первоначального иска. Между тем названные обстоятельства не могут свидетельствовать о причинении убытков, поскольку обращение Общества в суд за защитой нарушенного права не может расцениваться в качестве неправомерного поведения.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«СтройПартнер»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