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15.12.2022, оставленным без изменения постановлением Девятого арбитражного апелляционного суда от 20.04.2023 и постановлением Арбитражного суда Московского округа от 20.07.2023, в удовлетворении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запросу судьи Верховного Суда Российской Федерации от 02.11.2023 дело истребовано из Арбитражного суда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положениями гражданского законодательства, регулирующего спорные правоотношения, установив, что после расторжения истцом (арендодатель) договоров аренды ответчиком (арендатор) неоднократно предпринимались меры к возврату арендованного имущества, однако истец уклонялся от его принятия, суды пришли к выводу об отсутствии оснований для удовлетворения иска. Доводы заявителя с учетом установленных фактических обстоятельств спора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«Цемком»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