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Медицинский центр «Эндентика» (далее – общество, истец) обратилось в Арбитражный суд города Москвы с иском к индивидуальному предпринимателю Дудюк Ирине Викторовне (далее – предприниматель, ответчик) о взыскании 473 000 руб. в счет соразмерного уменьшения цены договора от 14.02.2022 № 14-02/2022. Решением Арбитражного суда города Москвы от 18.04.2023, оставленным без изменения постановлением Девятого арбитражного апелляционного суда от 17.07.2023 и постановлением Арбитражного суда Московского округа от 04.10.2023, в удовлетворении исковых требований отказано. С общества в пользу предпринимателя взыскано 15 000 руб. расходов на оплату услуг представителя, во взыскании расходов в остальной части отказано. В кассационной жалобе, поданной в Верховный Суд Российской Федерации, заявитель просит отменить состоявшиеся судебные акты, ссылаясь 2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неправильно установлены обстоятельства, имеющие значение для дела, им дана неверная правовая оценка, не применены нормы материального права, подлежащие применению при рассмотрении настоящего спора; не учтено отсутствие доказательств несения расходов на оплату услуг представителя.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14.02.2022 между обществом (заказчик) и предпринимателем (исполнитель) заключен договор № 14-02/2022, по условиям которого исполнитель обязуется выполнить работы по производству рекламных, информационных конструкций или материалов (РИМ), а также выполнить дополнительные работы / оказать услуги (по доставке, работы по сборке, установке, монтажу РИМ или иные согласованные работы/услуги) согласно техническому заданию, согласованному сторонами в приложении № 1 к договору, и передать результат таких работ и дополнительных работ/услуг заказчику, а заказчик обязуется принять и оплатить выполненные работы, дополнительные работы/услуги. Из условий договора следует, что приемка работ должна производиться в соответствии с пунктом 2.8 договора – в течение пяти дней с даты окончания выполнения по производству РИМ, исполнитель предоставляет заказчику на подписание универсальный передаточный документ (УПД). Заказчик обязуется подписать УПД в течение трех дней, либо предоставить мотивированный отказ от подписания. Как указал истец, в ходе приемки выполненных работ обществом был выявлен ряд недостатков, что отражено в акте, подписанном посредством использования системы электронного документооборота Контур. После устранения ответчиком недостатков, указанных в УПД, 14.07.2022 УПД подписан истцом. Согласно пункту 6.1 договора исполнитель гарантирует своими силами и за свой счет устранение допущенных по его вине неисправностей и повреждений РИМ, выявленных в течение шести месяцев с даты подписания УПД, указанного в пунктах 2.8 или 2.13 договора, если иные условия 3 гарантийных обязательств исполнителя не согласованы сторонами в соответствующем ТЗ. Учитывая, что УПД подписан 14.07.2022, истец полагает, что срок действия гарантийных обязательств – до 14.01.2023. В процессе эксплуатации вывесок обществом выявлены недостатки выполненных работ. В обоснование утверждения о выполнении ответчиком работ ненадлежащего качества в материалы дела представлено заключение общества с ограниченной ответственностью «Рекламно-производственная компания». 20.09.2022 истцом в адрес ответчика направлена претензия об устранении недостатков работ. Поскольку реализованный обществом досудебный порядок урегулирования спора не принес положительного результата, истец обратился в суд с настоящим иском. Исследовав и оценив по правилам статьи 71 АПК РФ представленные доказательства, руководствуясь статьями 309, 310, 702, 708, 709, 711, 720, 721, 723, 748, 753 Гражданского кодекса Российской Федерации, суд первой инстанции отказал в иске исходя из того, что протокол передачи выполненных работ подписан 14.07.2022 без замечаний и возражений; не установлено препятствий для проверки выполненной работы на момент принятия оказанных по договору услуг, а также наличие недостатков выполненных работ и вызова ответчика на совместный осмотр. Представленное обществом заключение эксперта отклонено судом как недопустимое доказательство, поскольку эксперт, составивший заключение, не предупреждался об уголовной ответственности. Рассмотрев заявление о взыскании расходов на оплату услуг представителя, руководствуясь статьей 110 АПК РФ,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правовой позицией, изложенной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Определении Конституционного Суда Российской Федерации от 21.12.2004 № 454-О, суд первой инстанции удовлетворил заявление предпринимателя в части в соответствии с принципом разумности и обоснованности. Выводы суда первой инстанции поддержали суды апелляционной инстанции и округа.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Медицинский центр «Эндентика»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