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декабря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заявитель 05.12.2023 направил в Верховный Суд Российской Федерации кассационную жалобу, одновременно заявив ходатайство о восстановлении пропущенного срока на ее подачу. Согласно части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2 В силу части 2 статьи 117 Арбитражного процессуального кодекса Российской Федерации арбитражный суд восстанавливает пропущенный процессуальный срок, если признает причины пропуска уважительными. Оценив приведенные заявителем причины пропуска процессуального срока, судья признает их уважительными. Поскольку ходатайство о восстановлении пропущенного процессуального срока заявлено в пределах установленного срока, причины пропуска срока признаны судом уважительными, данное ходатайство подлежит удовлетворению. Руководствуясь статьями 117, 184, 185, 2912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Управления Федеральной службы по надзору в сфере защиты прав потребителей и благополучия человека по Краснодарскому краю удовлетворить, срок на подачу кассационной жалобы восстановить. Судья Верховного Суда А.Г. Першутов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