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Рассмотрев ходатайства, судья Верховного Суда Российской Федерации не находит оснований для их удовлетворения. Ходатайствуя о приостановлении исполнения обжалуемых судебных актов, заявители не обосновали и документально не подтвердили наличие обстоятельств, которые в соответствии со статьей 2916 Арбитражного процессуального кодекса Российской Федерации позволяют им требовать приостановления исполнения обжалуемого постановления суда округа. 2 Указанным судебным актом суд округа отменил решение суда первой инстанции и постановление суда апелляционной инстанции, и отказал обществу с ограниченной ответственностью «Влак» в удовлетворении требования о признании незаконным постановления о привлечении его к административной ответственности. Названный судебный акт суда округа принудительному исполнению не подлежит, в связи с чем не может быть приостановлено его исполнение. Учитывая изложенное и руководствуясь статьями 184,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 общества с ограниченной ответственностью «Влак» и Уполномоченного по защите прав предпринимателей в Калининградской области о приостановлении исполнения постановления Арбитражного суда Северо-Западного округа от 05.10.2023 по делу № А21-12157/2022 Арбитражного суда Калининградской области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