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Ссылаясь на то, что он является потерпевшим по делу об административном правонарушении, заявитель в то же время не указывает, какой вред административным правонарушением ему причинен. При этом суд первой инстанции при рассмотрении дела по существу спора пришел к выводу о наличии в действиях арбитражного управляющего состава административного правонарушения.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Фоноберову Леониду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