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установленных обстоятельств оказания истцом (исполнитель) услуг ответчику (заказчик) по договору оказания услуг спецтехникой, перечисления истцом (субподрядчик) аванса ответчику (субсубподрядчик) в рамках договора субподряда, ненадлежащего исполнения ответчиком обязательств по названным договорам, наличия на его стороне задолженности за оказанные услуги и неосновательного обогащения в виде неотработанного аванса.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(или)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«Вэлдинг»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