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инстанции и округа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Отменяя решение суда первой инстанции и удовлетворяя иск, суд апелляционной инстанции, с которым впоследствии согласился суд округа, исследовав и оценив представленные в материалы дела доказательства, руководствуясь положениями законодательства, регулирующего спорные 2 правоотношения, исходил из доказанности факта возникновения на стороне ответчика неосновательного обогащения за счет истца.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«Энрима-Техникс»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