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учитывая обстоятельства, установленные вступившим в законную силу судебным актом по другому арбитражному делу, 2 руководствуясь положениями законодательства, регулирующего спорные правоотношения, исходили из недоказанности истцом совокупности условий, необходимых для взыскания с ответчика испрашиваемых убытков в виде упущенной выгоды.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и дали надлежащую правовую оценку доводам заявителя.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Определением Верховного Суда Российской Федерации от 01.11.2023 заявителю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Ставропольского края.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«СтройРесурс»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«СтройРесурс» в доход федерального бюджета 3000 (три тысячи) рублей государственной пошлины за подачу кассационной жалобы. Поручить Арбитражному суду Ставропольского края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