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руководствуясь положениями законодательства, 2 регулирующего спорные правоотношения, не установили оснований для возложения на ответчика обязанности произвести ремонтно-восстановительные работы кровли над принадлежащими истцу встроено-пристроенными нежилыми помещениями ввиду недоказанности им наличия ее повреждений.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Колесниченко Дмитрия Константиновича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