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Торговый дом «ГорМехОборудование» (далее – общество) обратилась в суд с заявлением о включении в реестр требований кредиторов (далее – реестр) 7 458 000 рублей основного долга по договору поставки от 12.02.2019 № 15/09-19, 4 478 428 рублей неустойки и 7 000 судебных расходов. Определением Арбитражного суда города Москвы от 02.05.2023 в удовлетворении заявления отказано. Постановлением Девятого арбитражного апелляционного суда от 27.06.2023, оставленным без изменения постановлением Арбитражного суда Московского округа от 12.09.2023, данное определение отменено; требования общества удовлетворены. В кассационных жалобах, поданных в Верховный Суд Российской Федерации, заявители просят отменить постановления судов апелляционной инстанции и округа.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Повторно разрешая спор, суды апелляционной инстанции и округа, руководствуясь статьями 71, 100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обоснованности требования ввиду доказанности наличия и размера задолженности должника перед обществом, проверив и признав арифметически верным расчёт сумм основного долга, неустойки и судебных расходов.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судами не допущено. Содержание жалоб,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 установил: 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