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Удмуртской Республики от 27.03.2023, оставленным без изменения постановлением Семнадцатого арбитражного апелляционного суда от 05.06.2023 и постановлением Арбитражного суда Уральского округа от 21.08.2023, в удовлетворении заявления отказано. В кассационной жалобе Кисельников Е.А. просит об отмене судебных актов, ссылаясь на неправильную правовую оценку обстоятельств совершения оспариваемых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оспариваемые сделки совершены не за счет должника и не во вред его кредиторам, поэтому отказали в применении к ним статьи 61.2 Федерального закона от 26.10.2002 № 127-ФЗ «О несостоятельности (банкротстве)» и статей 10, 168 Гражданского кодекса Российской Федерации. Иная оценка обстоятельств совершения сделок не создает названные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Кисельникову Евгению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