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07.04.2023, оставленным без изменения постановлением Девятого арбитражного апелляционного суда от 31.05.2023 и постановлением Арбитражного суда Московского округа от 19.09.2023, в удовлетворении иска отказано в связи с пропуском срока исковой давности, о применении которой заявил ответчик. В кассационной жалобе общество «Чермет» просит об отмене судебных актов, ссылаясь на необходимость применения общего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правоотношения сторон возникли в связи перевозкой, поэтому применили специальный срок исковой давности, предусмотренный статьей 797 Российской Федерации, пропущенный истцом.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