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недействительной сделки в виде совершённых должником в период с 03.08.2018 по 23.12.2019 платежей в пользу ФИО1 на сумму 679 725 рублей 64 копеек; применении последствий недействительности сделки. Определением Арбитражного суда Московской области от 19.05.2022 (в редакции определения суда первой инстанции от 20.05.2022 об исправлении опечатки) заявление удовлетворено. Постановлением Десятого арбитражного апелляционного суда от 27.07.2022, оставленным без изменения постановлением Арбитражного суда Московского округа от 27.10.2022, данное определение изменено. Резолютивная часть определения изложена в новой редакции, согласно которой признаны недействительными сделки в виде банковских операций по перечислению должником в пользу ФИО1 денежных средств в сумме 652 400 рублей 08 копеек; применены последствия недействительности сделок в виде взыскания с ФИО1 в конкурсную массу должника названной суммы денежный средств.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апелляционной инстанции. Исходя из доводов кассационной жалобы, заявитель не согласен с обжалуемыми судебными актами в удовлетворённой части требований конкурсного управляющего. Жалоба изучена в пределах изложенных в ней доводов. 11.01.2023 материалы дела № А41-53962/2020 были истребованы в Арбитражном суде Московской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в обжалуемой части, суды, руководствуясь статьями 2 , 19 , пунктом 2 статьи 61.2 Федерального закона от 26.10.2002 № 127-ФЗ «О несостоятельности (банкротстве)», исходили из того, что оспариваемые платежи совершены должником в пользу осведомлённого о его неплатёжеспособности лица (занимавшего должность начальника производственно-технического отдела и не представившего доказательств расходования части подотчётных денежных средств на хозяйственные нужды должника), в связи с чем признали их недействительными сделками по основанию причинения вреда имущественным правам кредиторов; правомерно применив последствия их недействительности. Представленные ФИО1 первичные документы на сумму 508 064 рублей 05 копеек обоснованно не приняты апелляционным судом во внимание, поскольку заявитель не представил к ним авансовые отчёты, а также доказательства расходования именно этих сумм на нужды должника, в том числе, посредством предоставления выписки о перечислениях денежных средств по счёту банковской карты, открытому заявителю в публичном акционерном обществе «Сбербанк России», куда первоначально должник переводил подотчётные денежные средства. Суд округа согласился с выводами судов первой и апелляционной инстанции в обжалуемой части, оставив принятые ими судебные акты без изменения. Выводы судов в обжалуемой заявителем части соответствуют нормам права, оснований для переоценки этих выводов не имеется. Результаты рассмотрения доводов кассационной жалобы, изучения обжалуемых заявителем судебных актов и материалов истребованного дела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"Стройиндустрия-холдинг" (подробнее) ИФНС по г. Домодедово МО (подробнее) ООО " Ловител" (подробнее) ООО "ТД САНТЕХПРОМ" (подробнее) ООО ФИРМА "ВОДОКОМФОРТ" (подробнее) СРО Ассоциация "РСОПАУ" (подробнее) Ответчики: ООО "СК Новый Век"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