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утверждении стимулирующего вознаграждения в размере 4 046 248 рублей 69 копеек. Определением Арбитражного суда города Москвы от 07.03.2023, оставленным без изменения постановлением Девятого арбитражного апелляционного суда от 24.05.2023, установлен размер стимулирующего вознаграждения в размере 3 500 000 рублей, в удовлетворении остальной части заявленных требований отказано. Постановлением Арбитражного суда Московского округа от 31.08.2023 вышеуказанные судебные акты отменены,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положениями статьи 20.6 Федерального закона от 26.10.2002 № 127-ФЗ «О несостоятельности (банкротстве)», исходил из того, что правоотношения между заявителем и должником возникли до вступления в силу Федерального закона от 29.07.2017 № 266-ФЗ «О внесении изменений в Федеральный закон «О несостоятельности (банкротстве)» и Кодекс Российской Федерации об административных правонарушениях» (далее – Закон № 266-ФЗ), и давая согласие на утверждение своей кандидатуры и, как следствие, принимая на себя обязанности по проведению мероприятий, предусмотренных процедурой конкурсного производства, заявитель мог рассчитывать на получение процентов по вознаграждению конкурсного управляющего, определяемых в соответствии с положениями статьи 20.6 Закона о банкротстве в редакции, действовавшей на момент его утверждения, то есть без учёта пункта 3.1 статьи 20.6 Закона. При таких условиях суд округа пришёл к верному выводу об отсутствии оснований для установления заявителю стимулирующего вознаграждения.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