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в кассационном порядке указанные судебные акты в части взыскания долга по договорам аренды.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Принимая судебные акты в обжалуемой части, суды, исследовав и оценив представленные в материалы дела доказательства, руководствуясь положениями законодательства, регулирующего спорные правоотношения, 2 исходили из установленных обстоятельств неисполнения ответчиком обязанности по внесению арендной платы по договорам аренды, возобновленным на неопределенный срок.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Поскольку в передаче кассационной жалобы отказано, оснований для рассмотрения ходатайства о приостановлении исполнения обжалуемых судебных актов не имеется.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Буряк Валентины Павловны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