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Астраханской области от 30.05.2022, оставленным без изменения постановлением Двенадцатого арбитражного апелляционного суда от 01.08.2022 и постановлением Арбитражного суда Поволжского округа от 20.10.2022, заявление должника удовлетворено. В кассационной жалобе управляющий ФИО2 просит об отмене судебных актов, ссылаясь на ненадлежащую оценку обстоятельств спора и действий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спорного имущества под исполнительский иммунитет, разрешив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Доводы о недобросовестности должника оценены в соответствии с правомочиями судов и признаны не влияющими на судьбу спорного имущества.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«Производственно-коммерческая фирма «Эталон»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Финансовый управляющий Хожаев А.З. (подробнее) ф/у Хожаев А.З. (подробнее) Иные лица: АО Служба ЗАГС по (подробнее) к/у Джиоева Н.П. (подробнее) ООО Конкурсный управляющий ПКФ "Эталон" Наталья Петровна Джиоева (подробнее) УМВД России по Астраханской области (подробнее) Управление ФНС по Астраханской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