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перечисления должника в пользу общества от 10.09.2020, 19.10.2020 и 20.10.2020 на 1 185 000 рублей в счёт погашения задолженности по договору займа от 08.09.2020 № 08/09-2020 и применении последствий недействительности сделок в виде обязания общества возвратить указанную сумму должнику. Определением Арбитражного суда города Санкт-Петербурга и Ленинградской области от 17.02.2023, оставленным без изменения постановлениями Тринадцатого арбитражного апелляционного суда от 18.05.2023 и Арбитражного суда Северо-Западного округа от 09.08.2023, заявление удовлетворено.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 и пункта 2 статьи 61.2 Федерального закона от 26.10.2002 № 127-ФЗ «О несостоятельности (банкротстве)», установив совершение оспариваемых сделок аффилированными лицами в пределах периода подозрительности, при наличии признаков несостоятельности должника, обоснованно квалифицировали оспариваемые сделки как совершённые с целью причинения вреда независимым кредиторам должника и удовлетворили заявленные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