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несоответствие выводов судов фактическим обстоятельствам дела,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Удовлетворяя исковые требования и подтверждая правильность этого вывода, суды,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исходили из доказанности возникновения на стороне ответчика неосновательного обогащения ввиду отсутствия встречного предоставления на сумму перечисленных ему истцом денежных средств.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правовую оценку доводам заявителя. Приведенные в кассационной жалобе доводы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Дыбина Алексея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