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28.03.2023 заявление признано обоснованным: в отношении Колесникова А.В. введена процедура реструктуризации долгов гражданина; требование банка признано обоснованным и включено в третью очередь реестра как обеспеченное залогом имущества должника; утвержден финансовый управляющий. Постановлением Девятого арбитражного апелляционного суда от 25.05.2023 определение от 28.03.2023 отменено в части признания требований банка обеспеченными залогом имущества должника, в остальной части определение оставлено без изменения. Постановлением Арбитражного суда Московского округа от 09.08.2023 определение в неотмененной части и постановление апелляционного суда оставлены без изменения. В кассационной жалобе Колесников А.В. просит об отмене судебных актов, ссылаясь на злоупотребление банком правом, неосновательный отказ в уменьшении неустойки.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представленных доказательствах и соответствуют статьям 213.3, 213.5, 213.6 Федерального закона от 26.10.2002 № 127-ФЗ «О несостоятельности (банкротстве)». Судебная инициатива по уменьшению неустойки неправильно истолкована должником применительно к обстоятельствам рассматриваемого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Колесникову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