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Частично удовлетворяя заявление о взыскании судебных расходов, суд апелляционной инстанции, с которым согласился суд округа, исследовав и оценив представленные в материалы дела доказательства, руководствуясь 2 положениями процессуального законодательства, исходил из доказанности несения ответчиком судебных расходов, соответствия их размера в удовлетворенной части принципу разумности с учетом характера спора, продолжительности рассмотрения дела, объема оказанных представителем услуг и сложившейся в регионе стоимости оплаты юридических услуг. Изложенные в кассационной жалобе доводы не подтверждают существенных нарушений судами апелляционной и кассационной инстанций норм права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«Юридическая компания «ЛексПроф»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