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кассационной жалобе, поданной в Верховный Суд Российской Федерации, организация, ссылаясь на нарушение судами норм материального и процессуального права, просит пересмотреть указанные судебные акты в кассационном порядке.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Частично удовлетворяя заявление истца и взыскивая с организации судебные расходы, суд первой инстанции, с которым согласились суды 2 апелляционной инстанции и округа, исследовав и оценив представленные в материалы дела доказательства, принимая во внимание характер правоотношения, из которого возник спор, руководствуясь положениями процессуального законодательства, исходил из доказанности несения истцом судебных расходов, соответствия их размера в удовлетворенной части принципу разумности с учетом степени сложности спора, продолжительности рассмотрения дела и объема оказанных представителем услуг. Приведенные в кассационной жалобе доводы были предметом рассмотрения судов и получили правовую оценку, не опровергают выводы судов, не подтверждают существенных нарушений судами норм права 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автономной некоммерческой организации «Фонд защиты вкладчиков»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