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06.03.2023, оставленным без изменения постановлением Десятого арбитражного апелляционного суда от 19.05.2023 и постановлением Арбитражного суда Московского округа от 06.09.2023, в удовлетворении заявления отказано. В кассационной жалобе Деревянко А.Г. просит об отмене судебных актов, ссылаясь на игнорирование аффилированности финансового управляющего с кредитором.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отсутствие вменяемых нарушений для применения к управляющему требуемой меры, поэтому отклонили заявление в соответствии со статьями 20.2, 20.3, 60, 145, 213.9 Федерального закона от 26.10.2002 № 127-ФЗ «О несостоятельности (банкротстве)» и их судебного толкования. Требуемая переоценка обстоятельств спора не создает оснований для пересмотра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Деревянко Александру Григорьевичу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