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несоответствие выводов судов фактическим обстоятельствам и представленным в материалы дела доказательствам,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исковые требования, суды, исследовав и оценив представленные в материалы дела доказательства, руководствуясь 2 положениями законодательства, регулирующего спорные правоотношения, исходили из установленных обстоятельств выполнения истцом работ по ремонту принадлежащего ответчику транспортного средства и неисполнения последним обязательства по оплате выполненных работ.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«Мегаком»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