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Москвы от 02.12.2022, оставленным без изменения постановлением Девятого арбитражного апелляционного суда от 21.04.2023 и постановлением Арбитражного суда Московского округа от 09.08.2023, в удовлетворении заявления отказано. В кассационной жалобе Чебышев С.А.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Требуемая переоценка обстоятельств совершения сделки не создает названных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Чебышеву Сергею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