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и процессуального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Исследовав и оценив представленные в материалы дела доказательства, руководствуясь положениями законодательства, регулирующего спорные правоотношения, суды пришли к выводу о наличии оснований для частичного 2 удовлетворения иска (с учетом перерасчета суммы неустойки), исходя из подтвержденности факта ненадлежащего исполнения ответчиком обязательств по внесению арендной платы, наличия у него задолженности в заявленном истцом размере и отсутствия доказательств ее оплаты.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дали надлежащую правовую оценку доводам заявителя.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Шаваева Романа Лечаевича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