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действующего законодательства, 2 регулирующего спорные правоотношения, исходили из отсутствия на стороне ответчика неосновательного обогащения за счет истца, а также недоказанности наличия у истца убытков в результате действий ответчика.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«О.К.А»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