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Рязанской области от 19.12.2022, оставленным без изменения постановлением Двадцатого арбитражного апелляционного суда от 03.05.2023 и постановлением Арбитражного суда Центрального округа от 02.08.2023, заявление удовлетворено. В кассационной жалобе ФИО1 просит об отмене судебных актов, ссылаясь на неправильную оценку обстоятельств заключения договоров.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безвозмездный характер оспариваемых сделок, заключение их сторонами с злоупотреблением правами в целях вывода ликвидного имущества из конкурсной массы во избежание обращения взыскания на него по долговым обязательствам в качестве условий для недействительности договоров в силу статей 10 , 168 , 170 Гражданского кодекса Российской Федерации. Отличная от судебной оценка обстоятельств совершения оспариваемых сделок, составляющая доводы жалобы,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"Газпромбанк" (подробнее) ООО "Мотус" (подробнее) ООО "Центр" (подробнее) ПАО "Сбербанк России" (подробнее) Иные лица: АО "Россельхозбанк" (подробнее) ГУ Управление по вопросам миграции МВД России по г. Москве ЦАСР (подробнее) ИФНС России №27 по г. Москве (подробнее) Представитель Посохиной С.А Казьмин А.А (подробнее) Сбербанк России -Рязанское отделение Сбербанка РФ №8606 (подробнее) ФГБУ Филиал "ФКП Росреестра" по Рязанской области (подробнее) ФУ Мальцева В.Т. Рязанский М.П.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