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Тверской области от 16.02.2023, оставленным без изменения постановлением Четырнадцатого арбитражного апелляционного суда от 29.05.2023 и постановлением Арбитражного суда Северо-Западного округа от 10.08.2023, в удовлетворении заявления отказано. В кассационной жалобе Садыхова С.А. просит об отмене судебных актов, ссылаясь на ненадлежащую оценку доводов и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Вывод судов о недоказанности расходования на нужды семьи должника включенных в реестр полученных от кредитора денежных средств основан на установленных обстоятельствах рассматриваемого спора и не противоречит статье 45 Семейного кодекса Российской Федерации, положениям Федерального закона от 26.10.2002 № 127-ФЗ «О несостоятельности (банкротстве)» и судебной практике. Требуемая переоценка обстоятельств расходования должником денежных средств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Садыховой Светлане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