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общества на судебные акты по делу № А56-96340/2022. От общества 30.11.2023 поступило ходатайство о возвращении кассационной жалобы без рассмотрения по существу, которое, учитывая дату поступления, рассматривается в качестве отказа от жалобы. Признавая правомочие общества на распоряжение процессуальными правами, его ходатайство удовлетворяется. В связи с подачей документов в электронном виде кассационная жалоба и уплаченная за ее подачу государственная пошлина настоящим определением не возвращаются. Руководствуясь статьей 184, пунктом 4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«Модуль» на решение Арбитражного суда города Санкт-Петербурга и Ленинградской области от 21.02.2023, 2 постановление Тринадцатого арбитражного апелляционного суда от 29.05.2023 и постановление Арбитражного суда Северо-Западного округа от 14.09.2023 по делу № А56-96340/2022.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