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Омской области от 30.01.2023, оставленным без изменения постановлением Восьмого арбитражного апелляционного суда от 19.04.2023 и постановлением Арбитражного суда Западно-Сибирского округа от 31.07.2023, требование Злыдниковой М.И. признано обоснованным и включено в третью очередь реестра, в удовлетворении заявления управляющего отказано. В кассационной жалобе Наумова Е.С. просит об отмене судебных актов, ссылаясь на отсутствие оценки обстоятельств совершения сделок, недоказанность передачи денежных средств и возможности их предоставления кредитором. 2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Оценив представленные в подтверждение наличия заемного обязательства должника перед кредитором доказательства, суды признали их отвечающими критериям статей 71, 100 Федерального закона от 26.10.2002 № 127-ФЗ «О несостоятельности (банкротстве)» для включения основанного на них требования в реестр и отсутствие условий для признания оспариваемых сделок недействительными в силу статей 10, 168, 170 Гражданского кодекса Российской Федерации. Вопросы доказывания и оценки доказательств, на которых основаны доводы жалобы, не составляют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Наумовой Елене Сергеевне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