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«Стройгазмонтаж» (далее – общество) обратилось в суд с заявлением о включении в третью очередь реестра требований кредиторов должника (далее – реестр) его требований в размере 923 009 835 рублей 65 копеек основного долга и 283 545 417 рублей 59 копеек – неустойка, из которой за невозврат аванса 237 781 870 рублей 34 копейки и за просрочку исполнения работ 45 763 574 рубля 25 копеек. Определением Арбитражного суда Республики Крым от 17.10.2022 заявление удовлетворено; признаны обоснованными и подлежащими включению в третью очередь реестра требования общества в общем размере 1 206 555 280 рублей 24 копеек. Постановлением Двадцать первого арбитражного апелляционного суда от 30.01.2023 изменено определение суда первой инстанции от 17.10.2022; признаны обоснованными и подлежащими субординации требования общества в размере 1 148 411 289 рублей 16 копеек из которых: 864 865 844 рубля 57 копеек – основной долг, 283 545 444 рубля 59 копеек – неустойка. 2 Постановлением Арбитражного суда Центрального округа от 15.09.2023 произведена процессуальная замена общества на правопреемника – Ануфриеву Ирину Васильевну; изменено постановление апелляционного суда от 30.01.2023 в части понижения очерёдности удовлетворения требований; требования в размере 1 148 411 289 рублей 16 копеек включены в третью очередь реестра; в остальной части постановление оставлено без изменения. В кассационных жалобах, поданных в Верховный Суд Российской Федерации, заявитель просит отменить названные судебные акты и направить обособленный спор на новое рассмотрение. Исходя из содержания настоящих жалоб, заявитель не согласен с судебными актами в части признания требований обоснованными, включения требований в третью очередь реестра и процессуальной замены общества на правопреемника.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заявление, суд первой инстанции, руководствуясь положениями статьи 100 Федерального закона от 26.10.2002 № 127-ФЗ «О несостоятельности (банкротстве)», признав недоказанным факт надлежащего выполнения должником оплаченных обществом работ или возврата обществу денежных средств, пришёл к выводу об обоснованности и подтверждённости требований общества к должнику, наличия оснований для их включения в третью очередь реестра в заявленном размере. Изменяя определение суда первой инстанции, апелляционный суд, установив наличие оснований для уменьшения заявленных требований в части основного долга путём сальдирования, в целом согласился с вводами об обоснованности и подтверждённости требований общества к должнику, и, руководствуясь правовой позицией, изложенной в пунктах 3.3 и 3.4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от 29.01.2020 (далее – Обзор), пришёл к выводу о наличии оснований для их субординации. Изменяя постановление апелляционного суда в части понижения очерёдности удовлетворения требований, суд округа, руководствуясь правовой позицией, изложенной в пункте 2 Обзора, пришёл к выводу об отсутствии оснований для их субординации. 3 Разрешая вопрос о правопреемстве, суд округа, руководствуясь положениями статей 384 и 388 Гражданского кодекса Российской Федерации, исходили из отсутствия оснований для ограничения прав лица на совершение процессуального правопреемства, указав на представление доказательств реальности отношений по уступке прав требования, которые в установленном порядке не оспорены, недействительными не признаны. Выводы судов в обжалуемых частях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судебных актов в обжалуемых частях,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