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22.02.2023, оставленным без изменения постановлением Двадцатого Арбитражного апелляционного суда от 22.05.2023 и постановлением Арбитражного суда Центрального округа от 22.08.2023, процедура реализации имущества гражданина завершена, ФИО1 освобождена от дальнейшего исполнения требований кредиторов за исключением требования ФИО2 В кассационной жалобе ФИО1 просит об отмене судебных актов в части неосвобождения ее от исполнения обязательства, ссылаясь на непонимание незаконности своих действий.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и сотрудничества в отношении нее с финансовым управляющим в процедуре банкротства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