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04.12.2023 с ходатайством о восстановлении срока.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Заявителем не названа причина несвоевременной подачи кассационной жалобы, поэтому основания для восстановления срока не имеется. В связи с подачей документов в электронном виде кассационная жалоба с настоящим определением не возвращается.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Строгановой-Троян Елизавете Александровне в восстановлении срока подачи кассационной жалобы на определение Арбитражного суда города 2 Москвы от 17.04.2023, постановление Девятого арбитражного апелляционного суда от 12.07.2023 и постановление Арбитражного суда Московского округа от 14.09.2023 по делу № А40-257157/2020. Кассационную жалобу не рассматривать по существу.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