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обратился в суд с жалобой на действия (бездействие) конкурсного управляющего ФИО1, выразившиеся в уклонении от оспаривания банковских операций по перечислению должником денежных средств в размере 63 438 736 рублей 65 копеек в пользу общества с ограниченной ответственностью «Торгово-промышленное предприятие «Стройхолдинг» (далее – предприятие) по контракту от 12.07.2017 № 13525041644170000780. Определением Арбитражного суда Вологодской области от 01.02.2023 удовлетворено. Постановлением Четырнадцатого арбитражного апелляционного суда от 23.05.2023, оставленным без изменения постановлением Арбитражного суда Северо-Западного округа от 04.08.2023, данное определение отменено;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20.3 , 60, 61.9 , 129 Федерального закона от 26.10.2002 № 127-ФЗ «О несостоятельности (банкротстве)» исходили из того, что обстоятельства выполнения предприятием - подрядчиком работ и отсутствие неосновательности перечисления должником денежных средств являлись предметом судебной оценки в делах №№ А13-20081/2017 и А13-4197/2021, признав недоказанными незаконность оспариваемых действий (бездействия) конкурсного управляющего и нарушения им прав и законных интересов должника, заявителя и иных конкурсных кредиторов.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"Строительная корпорация Вологодской области" (подробнее) Ответчики: ООО "Тотьмалесстрой" (подробнее) Иные лица: МИФНС №13 по Вологодской области (подробнее) ООО "Вологодская коммерческая компания" (подробнее) ООО "ЗапТоргАвто" (подробнее) ООО "Управление Севергаз" (подробнее) ООО "Энтиком-Инвест" (подробнее) ПАО Банк ВТБ (подробнее) председатель Совета собственников жилых помещений дома №16 по улице Культуры Дубинова Валентина Владимировна (подробнее) СРОАУ №Межрегиональный центр арбитражных управляющих 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