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20.02.2023 заявление удовлетворено. Постановлением Тринадцатого арбитражного апелляционного суда от 06.06.2023 определение отменено, заявление удовлетворено частично. Постановлением Арбитражного суда Северо-Западного округа от 15.09.2023 постановление апелляционного суда от 06.06.2023 отменено, определение суда первой инстанции от 20.02.2023 оставлено в силе. В кассационной жалобе Бреднев В.А. просит об отмене определения суда первой инстанции и постановления окружного суда, ссылаясь на правильную оценку обстоятельств спора апелляционным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согласованные действия должника и ответчика по выведению из под взыскания по долгам денежных средств, признав их условиями для недействительности платежей в силу статей 10, 168 Гражданского кодекса Российской Федерации.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Бредневу Вячеславу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