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24.01.2023, оставленным без изменения постановлением Девятнадцатого арбитражного суда от 13.04.2023 и постановлением Арбитражного суда Центрального округа от 04.08.2023, заявление удовлетворено: признаны завершенными торги по продаже залогового имущества, восстановлено право должника по распоряжению не реализованным залоговым имуществом, финансовый управляющий обязан передать нереализованное имущество должнику по акту приема-передачи. В кассационной жалобе банк просит об отмене судебных актов, ссылаясь на нарушение его залоговых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соответствуют установленным обстоятельствам реализации спорного имущества должника и поведению залогового кредитора (отказ банка оставить за собой предмет залога, не реализованный на предыдущих этапах торгов из-за низкой ликвидности) и статьям 138, 213.26 Федерального закона от 26.10.2002 № 127-ФЗ «О несостоятельности (банкротстве)». Доводы рассматриваемой кассационной жалобы повторяют доводы, заявленные судам, получили правовую оценку и не создают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«Россельхозбанк»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