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15.07.2019 заявление удовлетворено. Девятый арбитражный апелляционный суд рассмотрел заявление по правилам для суда первой инстанции и постановлением от 25.05.2023, оставленным без изменения постановлением Арбитражного суда Московского округа от 14.08.2023, определение от 15.07.2019 отменил, заявление удовлетворил. В кассационной жалобе Сафина И.Ф. просит об отмене судебных актов, ссылаясь на неправильную оценку обстоятельств совершения сделки,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должником недвижимости в период подозрительности при неравноценном встречном исполнении, что в силу пункта 1 статьи 61.2 Федерального закона от 26.10.2002 № 127-ФЗ «О несостоятельности (банкротстве)» создает условия для недействительности сделки. Действия судов, которые заявитель считает процессуальными нарушениями, таковыми не являются и не попадают под основания для кассационного пересмотра судебных актов, как и отличная от судебной оценка обстоятельств совершения сделки.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Сафиной Индире Фаатовне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