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20.09.2022, оставленным без изменения постановлением Восемнадцатого арбитражного апелляционного суда от 19.05.2023 и постановлением Арбитражного суда Уральского округа от 28.08.2023, заявление удовлетворено. В кассационной жалобе ФИО1 просит об отмене судебных актов, указывая на подачу заявления неуполномоченным лицом.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90 Арбитражного процессуального кодекса Российской Федерации принятие обеспечительных мер является компетенцией рассматривающего дело суда и оснований для пересмотра ее проявления в кассационном порядке не имеется. Доводы, приведенные в кассационной жалобе, являлись предметом рассмотрения судов, получили надлежащую правовую оценку и не создают оснований для пересмотра обжалуемых судебных актов в кассационном порядке Верховным Судом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Коммерческий банк "Ренессанс Кредит" (подробнее) ООО "Метапласт Экспо" (подробнее) ООО "Югорское коллекторское агентство" (подробнее) Иные лица: Ассоциация Арбитражных управляющих "Арсенал" (подробнее) Финансовый управляющий Ломовцев Сергей Николаевич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