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03.02.2023, оставленным без изменения постановлением Пятого арбитражного апелляционного суда от 09.06.2023 и постановлением Арбитражного суда Дальневосточного округа от 25.08.2023, заявление удовлетворено. В кассационной жалобе Смирнова М.Ю. просит об отмене судебных актов, ссылаясь на неправильную оценку обстоятельств и цели совершения сделок и нерассмотрение судами вопроса об исполнительском иммунитете.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спорной недвижимости в пользу заинтересованного лица (брата) при наличии неисполненных обязательств суды признали создающим в силу пункта 2 статьи 61.2 Федерального закона «О несостоятельности (банкротстве)» условия для недействительности сделок. Иная оценка обстоятельств заключения сделок не попадает под основания для пересмотра судебных актов в кассационном порядке. Вопрос об исполнительском иммунитете разрешается в самостоятельном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