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4 декабря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Нижегородской области от 02.03.2023, оставленным без изменения постановлением Первого арбитражного апелляционного суда от 19.05.2023 и постановлением Арбитражного суда Волго-Вятского округа от 07.08.2023, процедура реализации имущества гражданина завершена, должник не освобожден от дальнейшего исполнения требований публичного акционерного общества «Совкомбанк». В кассационной жалобе Рябинин Г.Н. просит об отмене судебных актов в части неосвобождения его от исполнения обязательства перед банком, ссылаясь на несоответствие вывода судов о его недобросовестности обстоятельствам спора.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2 иной экономической деятельности, а также защита охраняемых законом публичных интересов. Таких оснований в связи с доводами жалобы не усматривается. В исследованных обстоятельствах возникновения и исполнения обязательств перед банком суды установили действия должника, не допускающие в силу пункта 4 статьи 213.28 Федерального закона от 26.10.2002 № 127-ФЗ «О несостоятельности (банкротстве)» освобождения от его исполнения. Иная оценка должником своих действий не создает оснований для кассационного пересмотра судебных актов.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Рябинину Геннадию Николаевичу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