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20.01.2023, оставленным без изменения постановлением Тринадцатого арбитражного апелляционного суда от 21.04.2023 и постановлением Арбитражного суда Северо-Западного округа от 05.09.2023, признано обоснованным и включено в третью очередь реестра требование кредитора в общей сумме 12 555 600 рублей как обеспеченное залогом имущества должника. В кассационной жалобе ФИО1 просит об отмене судебных актов, ссылаясь на отсутствие правовой оценки договора займа и игнорирование недобросовестности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Требование кредитора подтверждено решением третейского суда, приведенным в исполнение судом общей юрисдикции, поэтому признано отвечающим критериям статей 71 , 100 Федерального закона от 26.10.2002 № 127-ФЗ «О несостоятельности (банкротстве)», статьям 16 , 69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АО "АВТОДОМ ПУЛКОВО" (подробнее) Иные лица: АНО "РЕГИОНАЛЬНАЯ ОРГАНИЗАЦИЯ СУДЕБНЫХ ЭКСПЕРТИЗ" (подробнее) АНО "Санкт-Петербургский институт независимой экспертизы и оценки" (подробнее) ГУ Управление по вопросам миграции МВД России по СПб и ЛО (подробнее) МИФНС №26 по СПб (подробнее) ОТРЯД ПОГРАНИЧНОГО КОНТРОЛЯ ФСБ РОССИИ (подробнее) ПАО "Сбербанк России"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Филиал ППК "Роскадастр" по СПб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