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Ульяновской области от 18.04.2023 заявление удовлетворено в части включения требования в общей сумме 653 809 рублей 69 копеек в третью очередь реестра. Одиннадцатый арбитражный апелляционный суд постановлением от 29.06.2023 и Арбитражный суд Поволжского округа постановлением от 03.10.2023 определение от 18.04.2023 оставили без изменения. В кассационной жалобе публичное акционерное общество «Совкомбанк» просит об отмене судебных актов, ссылаясь на неправомерность отказа в установлении залогового статуса добросовестному залогодержателю.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залоговый статус требования основан на договоре залога, признанном на момент рассмотрения настоящего заявления ничтожным судом общей юрисдикции, поэтому отказали кредитору в залоговом статусе в силу статей 16, 69 Арбитражного процессуального кодекса Российской Федерации. Иное толкование норм права заявителем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«Совкомбанк»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