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23.03.2023, оставленным без изменения постановлением Девятого арбитражного апелляционного суда от 31.05.2023 и постановлением Арбитражного суда Московского округа от 16.08.2023, в удовлетворении заявления отказано. В кассационной жалобе Уголькова Л.А. просит отменить судебные акты, ссылаясь на необъективную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Установленное нахождение квартиры в залоге попадает под исключение из указанных в статье 446 Гражданского процессуального кодекса Российской Федерации случаев невозможности обращения на нее взыскания по включенному в реестр требованию банка.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Угольковой Любови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