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Республики Татарстан от 27.01.2023, оставленным без изменения постановлением Одиннадцатого арбитражного апелляционного суда от 11.05.2023 и постановление Арбитражного суда Поволжского округа от 03.08.2023, заявление удовлетворено. В кассационной жалобе Хайруллина Г.М. просит об отмене судебных актов, ссылаясь на неиспользование спорных денежных средств на нужды семьи, недобросовестность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руководствовались следующей из статей 35, 45 Семейного кодекса Российской Федерации и не опровергнутой супругами презумпции расходования спорной суммы на создание совместного имущества. Вопросы доказывания и оценки доказательств, положенные в основу доводов жалобы,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Хайруллиной Гульнаре Марсовне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